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1DB1A" w14:textId="48127EBB" w:rsidR="00B71CE0" w:rsidRPr="00B71CE0" w:rsidRDefault="00380AE2" w:rsidP="00B71CE0">
      <w:pPr>
        <w:rPr>
          <w:b/>
          <w:bCs/>
          <w:color w:val="7030A0"/>
          <w:sz w:val="36"/>
          <w:szCs w:val="36"/>
          <w14:glow w14:rad="228600">
            <w14:schemeClr w14:val="accent1">
              <w14:alpha w14:val="60000"/>
              <w14:satMod w14:val="175000"/>
            </w14:schemeClr>
          </w14:glow>
        </w:rPr>
      </w:pPr>
      <w:r w:rsidRPr="00B71CE0">
        <w:rPr>
          <w:b/>
          <w:bCs/>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B71CE0">
        <w:rPr>
          <w:b/>
          <w:bCs/>
          <w:color w:val="7030A0"/>
          <w:sz w:val="36"/>
          <w:szCs w:val="36"/>
          <w14:glow w14:rad="228600">
            <w14:schemeClr w14:val="accent1">
              <w14:alpha w14:val="60000"/>
              <w14:satMod w14:val="175000"/>
            </w14:schemeClr>
          </w14:glow>
        </w:rPr>
        <w:t xml:space="preserve">- </w:t>
      </w:r>
      <w:r w:rsidR="00B71CE0" w:rsidRPr="00B71CE0">
        <w:rPr>
          <w:b/>
          <w:bCs/>
          <w:color w:val="7030A0"/>
          <w:sz w:val="36"/>
          <w:szCs w:val="36"/>
          <w14:glow w14:rad="228600">
            <w14:schemeClr w14:val="accent1">
              <w14:alpha w14:val="60000"/>
              <w14:satMod w14:val="175000"/>
            </w14:schemeClr>
          </w14:glow>
        </w:rPr>
        <w:t xml:space="preserve">Five Ways </w:t>
      </w:r>
      <w:r w:rsidR="00B71CE0" w:rsidRPr="00B71CE0">
        <w:rPr>
          <w:b/>
          <w:bCs/>
          <w:color w:val="7030A0"/>
          <w:sz w:val="36"/>
          <w:szCs w:val="36"/>
          <w14:glow w14:rad="228600">
            <w14:schemeClr w14:val="accent1">
              <w14:alpha w14:val="60000"/>
              <w14:satMod w14:val="175000"/>
            </w14:schemeClr>
          </w14:glow>
        </w:rPr>
        <w:t>to</w:t>
      </w:r>
      <w:r w:rsidR="00B71CE0" w:rsidRPr="00B71CE0">
        <w:rPr>
          <w:b/>
          <w:bCs/>
          <w:color w:val="7030A0"/>
          <w:sz w:val="36"/>
          <w:szCs w:val="36"/>
          <w14:glow w14:rad="228600">
            <w14:schemeClr w14:val="accent1">
              <w14:alpha w14:val="60000"/>
              <w14:satMod w14:val="175000"/>
            </w14:schemeClr>
          </w14:glow>
        </w:rPr>
        <w:t xml:space="preserve"> Improve Near Miss Reporting</w:t>
      </w:r>
    </w:p>
    <w:p w14:paraId="72230900" w14:textId="77777777" w:rsidR="004444ED" w:rsidRPr="004444ED" w:rsidRDefault="004444ED" w:rsidP="009A09D2">
      <w:pPr>
        <w:spacing w:after="225" w:line="240" w:lineRule="auto"/>
        <w:jc w:val="both"/>
        <w:rPr>
          <w:rFonts w:eastAsia="Times New Roman" w:cstheme="minorHAnsi"/>
          <w:color w:val="231F20"/>
          <w:sz w:val="28"/>
          <w:szCs w:val="28"/>
        </w:rPr>
      </w:pPr>
      <w:r w:rsidRPr="004444ED">
        <w:rPr>
          <w:rFonts w:eastAsia="Times New Roman" w:cstheme="minorHAnsi"/>
          <w:color w:val="231F20"/>
          <w:sz w:val="28"/>
          <w:szCs w:val="28"/>
        </w:rPr>
        <w:t>Whether you’re implementing a near-miss reporting system or your current system isn’t producing the results you want, here are five suggestions for encouraging workers to report minor incidents and near misses.</w:t>
      </w:r>
    </w:p>
    <w:p w14:paraId="451D3B3D" w14:textId="77777777" w:rsidR="004444ED" w:rsidRPr="004444ED" w:rsidRDefault="004444ED" w:rsidP="009A09D2">
      <w:pPr>
        <w:spacing w:after="225" w:line="240" w:lineRule="auto"/>
        <w:jc w:val="both"/>
        <w:rPr>
          <w:rFonts w:eastAsia="Times New Roman" w:cstheme="minorHAnsi"/>
          <w:color w:val="231F20"/>
          <w:sz w:val="28"/>
          <w:szCs w:val="28"/>
        </w:rPr>
      </w:pPr>
      <w:r w:rsidRPr="004444ED">
        <w:rPr>
          <w:rFonts w:eastAsia="Times New Roman" w:cstheme="minorHAnsi"/>
          <w:b/>
          <w:bCs/>
          <w:color w:val="231F20"/>
          <w:sz w:val="28"/>
          <w:szCs w:val="28"/>
        </w:rPr>
        <w:t>1. Explain the process to all employees</w:t>
      </w:r>
    </w:p>
    <w:p w14:paraId="0D765EEB" w14:textId="77777777" w:rsidR="004444ED" w:rsidRPr="004444ED" w:rsidRDefault="004444ED" w:rsidP="009A09D2">
      <w:pPr>
        <w:spacing w:after="225" w:line="240" w:lineRule="auto"/>
        <w:jc w:val="both"/>
        <w:rPr>
          <w:rFonts w:eastAsia="Times New Roman" w:cstheme="minorHAnsi"/>
          <w:color w:val="231F20"/>
          <w:sz w:val="28"/>
          <w:szCs w:val="28"/>
        </w:rPr>
      </w:pPr>
      <w:r w:rsidRPr="004444ED">
        <w:rPr>
          <w:rFonts w:eastAsia="Times New Roman" w:cstheme="minorHAnsi"/>
          <w:color w:val="231F20"/>
          <w:sz w:val="28"/>
          <w:szCs w:val="28"/>
        </w:rPr>
        <w:t>Employees are more willing to cooperate when they know all of the specifics:</w:t>
      </w:r>
    </w:p>
    <w:p w14:paraId="112402FD" w14:textId="77777777" w:rsidR="004444ED" w:rsidRPr="009A09D2" w:rsidRDefault="004444ED" w:rsidP="009A09D2">
      <w:pPr>
        <w:pStyle w:val="ListParagraph"/>
        <w:numPr>
          <w:ilvl w:val="0"/>
          <w:numId w:val="26"/>
        </w:numPr>
        <w:spacing w:before="100" w:beforeAutospacing="1" w:after="100" w:afterAutospacing="1" w:line="240" w:lineRule="auto"/>
        <w:jc w:val="both"/>
        <w:rPr>
          <w:rFonts w:eastAsia="Times New Roman" w:cstheme="minorHAnsi"/>
          <w:color w:val="231F20"/>
          <w:sz w:val="28"/>
          <w:szCs w:val="28"/>
        </w:rPr>
      </w:pPr>
      <w:bookmarkStart w:id="0" w:name="_GoBack"/>
      <w:r w:rsidRPr="009A09D2">
        <w:rPr>
          <w:rFonts w:eastAsia="Times New Roman" w:cstheme="minorHAnsi"/>
          <w:color w:val="231F20"/>
          <w:sz w:val="28"/>
          <w:szCs w:val="28"/>
        </w:rPr>
        <w:t>Why is the company adopting a near-miss reporting system?</w:t>
      </w:r>
    </w:p>
    <w:p w14:paraId="2D935E6E" w14:textId="77777777" w:rsidR="004444ED" w:rsidRPr="009A09D2" w:rsidRDefault="004444ED" w:rsidP="009A09D2">
      <w:pPr>
        <w:pStyle w:val="ListParagraph"/>
        <w:numPr>
          <w:ilvl w:val="0"/>
          <w:numId w:val="26"/>
        </w:numPr>
        <w:spacing w:before="100" w:beforeAutospacing="1" w:after="100" w:afterAutospacing="1" w:line="240" w:lineRule="auto"/>
        <w:jc w:val="both"/>
        <w:rPr>
          <w:rFonts w:eastAsia="Times New Roman" w:cstheme="minorHAnsi"/>
          <w:color w:val="231F20"/>
          <w:sz w:val="28"/>
          <w:szCs w:val="28"/>
        </w:rPr>
      </w:pPr>
      <w:r w:rsidRPr="009A09D2">
        <w:rPr>
          <w:rFonts w:eastAsia="Times New Roman" w:cstheme="minorHAnsi"/>
          <w:color w:val="231F20"/>
          <w:sz w:val="28"/>
          <w:szCs w:val="28"/>
        </w:rPr>
        <w:t>How will the information be used?</w:t>
      </w:r>
    </w:p>
    <w:p w14:paraId="099A767C" w14:textId="77777777" w:rsidR="004444ED" w:rsidRPr="009A09D2" w:rsidRDefault="004444ED" w:rsidP="009A09D2">
      <w:pPr>
        <w:pStyle w:val="ListParagraph"/>
        <w:numPr>
          <w:ilvl w:val="0"/>
          <w:numId w:val="26"/>
        </w:numPr>
        <w:spacing w:before="100" w:beforeAutospacing="1" w:after="100" w:afterAutospacing="1" w:line="240" w:lineRule="auto"/>
        <w:jc w:val="both"/>
        <w:rPr>
          <w:rFonts w:eastAsia="Times New Roman" w:cstheme="minorHAnsi"/>
          <w:color w:val="231F20"/>
          <w:sz w:val="28"/>
          <w:szCs w:val="28"/>
        </w:rPr>
      </w:pPr>
      <w:r w:rsidRPr="009A09D2">
        <w:rPr>
          <w:rFonts w:eastAsia="Times New Roman" w:cstheme="minorHAnsi"/>
          <w:color w:val="231F20"/>
          <w:sz w:val="28"/>
          <w:szCs w:val="28"/>
        </w:rPr>
        <w:t>What’s in it for them?</w:t>
      </w:r>
    </w:p>
    <w:p w14:paraId="05C02255" w14:textId="77777777" w:rsidR="004444ED" w:rsidRPr="009A09D2" w:rsidRDefault="004444ED" w:rsidP="009A09D2">
      <w:pPr>
        <w:pStyle w:val="ListParagraph"/>
        <w:numPr>
          <w:ilvl w:val="0"/>
          <w:numId w:val="26"/>
        </w:numPr>
        <w:spacing w:before="100" w:beforeAutospacing="1" w:after="100" w:afterAutospacing="1" w:line="240" w:lineRule="auto"/>
        <w:jc w:val="both"/>
        <w:rPr>
          <w:rFonts w:eastAsia="Times New Roman" w:cstheme="minorHAnsi"/>
          <w:color w:val="231F20"/>
          <w:sz w:val="28"/>
          <w:szCs w:val="28"/>
        </w:rPr>
      </w:pPr>
      <w:r w:rsidRPr="009A09D2">
        <w:rPr>
          <w:rFonts w:eastAsia="Times New Roman" w:cstheme="minorHAnsi"/>
          <w:color w:val="231F20"/>
          <w:sz w:val="28"/>
          <w:szCs w:val="28"/>
        </w:rPr>
        <w:t>Where do they access the card or electronic form?</w:t>
      </w:r>
    </w:p>
    <w:p w14:paraId="36F1BB98" w14:textId="77777777" w:rsidR="004444ED" w:rsidRPr="009A09D2" w:rsidRDefault="004444ED" w:rsidP="009A09D2">
      <w:pPr>
        <w:pStyle w:val="ListParagraph"/>
        <w:numPr>
          <w:ilvl w:val="0"/>
          <w:numId w:val="26"/>
        </w:numPr>
        <w:spacing w:before="100" w:beforeAutospacing="1" w:after="100" w:afterAutospacing="1" w:line="240" w:lineRule="auto"/>
        <w:jc w:val="both"/>
        <w:rPr>
          <w:rFonts w:eastAsia="Times New Roman" w:cstheme="minorHAnsi"/>
          <w:color w:val="231F20"/>
          <w:sz w:val="28"/>
          <w:szCs w:val="28"/>
        </w:rPr>
      </w:pPr>
      <w:r w:rsidRPr="009A09D2">
        <w:rPr>
          <w:rFonts w:eastAsia="Times New Roman" w:cstheme="minorHAnsi"/>
          <w:color w:val="231F20"/>
          <w:sz w:val="28"/>
          <w:szCs w:val="28"/>
        </w:rPr>
        <w:t>How should they fill it out?</w:t>
      </w:r>
    </w:p>
    <w:p w14:paraId="72B69034" w14:textId="77777777" w:rsidR="004444ED" w:rsidRPr="009A09D2" w:rsidRDefault="004444ED" w:rsidP="009A09D2">
      <w:pPr>
        <w:pStyle w:val="ListParagraph"/>
        <w:numPr>
          <w:ilvl w:val="0"/>
          <w:numId w:val="26"/>
        </w:numPr>
        <w:spacing w:before="100" w:beforeAutospacing="1" w:after="100" w:afterAutospacing="1" w:line="240" w:lineRule="auto"/>
        <w:jc w:val="both"/>
        <w:rPr>
          <w:rFonts w:eastAsia="Times New Roman" w:cstheme="minorHAnsi"/>
          <w:color w:val="231F20"/>
          <w:sz w:val="28"/>
          <w:szCs w:val="28"/>
        </w:rPr>
      </w:pPr>
      <w:r w:rsidRPr="009A09D2">
        <w:rPr>
          <w:rFonts w:eastAsia="Times New Roman" w:cstheme="minorHAnsi"/>
          <w:color w:val="231F20"/>
          <w:sz w:val="28"/>
          <w:szCs w:val="28"/>
        </w:rPr>
        <w:t>What kind of feedback will they receive afterward?</w:t>
      </w:r>
    </w:p>
    <w:bookmarkEnd w:id="0"/>
    <w:p w14:paraId="60C720DC" w14:textId="77777777" w:rsidR="004444ED" w:rsidRPr="004444ED" w:rsidRDefault="004444ED" w:rsidP="009A09D2">
      <w:pPr>
        <w:spacing w:after="225" w:line="240" w:lineRule="auto"/>
        <w:jc w:val="both"/>
        <w:rPr>
          <w:rFonts w:eastAsia="Times New Roman" w:cstheme="minorHAnsi"/>
          <w:color w:val="231F20"/>
          <w:sz w:val="28"/>
          <w:szCs w:val="28"/>
        </w:rPr>
      </w:pPr>
      <w:r w:rsidRPr="004444ED">
        <w:rPr>
          <w:rFonts w:eastAsia="Times New Roman" w:cstheme="minorHAnsi"/>
          <w:color w:val="231F20"/>
          <w:sz w:val="28"/>
          <w:szCs w:val="28"/>
        </w:rPr>
        <w:t>Employees also need to know where to turn them in. Some companies prefer a drop box, and others want them to be handed to a joint health and safety committee representative, safety committee team member or a supervisor. Whatever collection system you use, it should be easily accessible and communicated to every worker.</w:t>
      </w:r>
    </w:p>
    <w:p w14:paraId="52448F6F" w14:textId="77777777" w:rsidR="004444ED" w:rsidRPr="004444ED" w:rsidRDefault="004444ED" w:rsidP="009A09D2">
      <w:pPr>
        <w:spacing w:after="225" w:line="240" w:lineRule="auto"/>
        <w:jc w:val="both"/>
        <w:rPr>
          <w:rFonts w:eastAsia="Times New Roman" w:cstheme="minorHAnsi"/>
          <w:color w:val="231F20"/>
          <w:sz w:val="28"/>
          <w:szCs w:val="28"/>
        </w:rPr>
      </w:pPr>
      <w:r w:rsidRPr="004444ED">
        <w:rPr>
          <w:rFonts w:eastAsia="Times New Roman" w:cstheme="minorHAnsi"/>
          <w:b/>
          <w:bCs/>
          <w:color w:val="231F20"/>
          <w:sz w:val="28"/>
          <w:szCs w:val="28"/>
        </w:rPr>
        <w:t>2. Analyze and act on the data</w:t>
      </w:r>
    </w:p>
    <w:p w14:paraId="2B3F644D" w14:textId="529A8726" w:rsidR="004444ED" w:rsidRPr="004444ED" w:rsidRDefault="004444ED" w:rsidP="009A09D2">
      <w:pPr>
        <w:spacing w:after="225" w:line="240" w:lineRule="auto"/>
        <w:jc w:val="both"/>
        <w:rPr>
          <w:rFonts w:eastAsia="Times New Roman" w:cstheme="minorHAnsi"/>
          <w:color w:val="231F20"/>
          <w:sz w:val="28"/>
          <w:szCs w:val="28"/>
        </w:rPr>
      </w:pPr>
      <w:r w:rsidRPr="004444ED">
        <w:rPr>
          <w:rFonts w:eastAsia="Times New Roman" w:cstheme="minorHAnsi"/>
          <w:color w:val="231F20"/>
          <w:sz w:val="28"/>
          <w:szCs w:val="28"/>
        </w:rPr>
        <w:t xml:space="preserve">Each report should be read </w:t>
      </w:r>
      <w:r w:rsidR="009A09D2" w:rsidRPr="009A09D2">
        <w:rPr>
          <w:rFonts w:eastAsia="Times New Roman" w:cstheme="minorHAnsi"/>
          <w:color w:val="231F20"/>
          <w:sz w:val="28"/>
          <w:szCs w:val="28"/>
        </w:rPr>
        <w:t>immediately,</w:t>
      </w:r>
      <w:r w:rsidRPr="004444ED">
        <w:rPr>
          <w:rFonts w:eastAsia="Times New Roman" w:cstheme="minorHAnsi"/>
          <w:color w:val="231F20"/>
          <w:sz w:val="28"/>
          <w:szCs w:val="28"/>
        </w:rPr>
        <w:t xml:space="preserve"> and its data entered into a spreadsheet or other data collection system for later analysis. Where the severity of a near miss is high and it’s probable that the same thing could happen to another employee, immediate corrective action should be taken.</w:t>
      </w:r>
    </w:p>
    <w:p w14:paraId="39F7A2AF" w14:textId="77777777" w:rsidR="004444ED" w:rsidRPr="004444ED" w:rsidRDefault="004444ED" w:rsidP="009A09D2">
      <w:pPr>
        <w:spacing w:after="225" w:line="240" w:lineRule="auto"/>
        <w:jc w:val="both"/>
        <w:rPr>
          <w:rFonts w:eastAsia="Times New Roman" w:cstheme="minorHAnsi"/>
          <w:color w:val="231F20"/>
          <w:sz w:val="28"/>
          <w:szCs w:val="28"/>
        </w:rPr>
      </w:pPr>
      <w:r w:rsidRPr="004444ED">
        <w:rPr>
          <w:rFonts w:eastAsia="Times New Roman" w:cstheme="minorHAnsi"/>
          <w:color w:val="231F20"/>
          <w:sz w:val="28"/>
          <w:szCs w:val="28"/>
        </w:rPr>
        <w:t>Corrective action should not be punitive or near-miss reports can quickly dry up. Typically, actions resulting from near miss reports range from an engineering control (a better cut-off switch or better machine guarding) or an administrative control (requiring that another person be present when the task is performed).</w:t>
      </w:r>
    </w:p>
    <w:p w14:paraId="6C28DCB4" w14:textId="77777777" w:rsidR="004444ED" w:rsidRPr="004444ED" w:rsidRDefault="004444ED" w:rsidP="009A09D2">
      <w:pPr>
        <w:spacing w:after="225" w:line="240" w:lineRule="auto"/>
        <w:jc w:val="both"/>
        <w:rPr>
          <w:rFonts w:eastAsia="Times New Roman" w:cstheme="minorHAnsi"/>
          <w:color w:val="231F20"/>
          <w:sz w:val="28"/>
          <w:szCs w:val="28"/>
        </w:rPr>
      </w:pPr>
      <w:r w:rsidRPr="004444ED">
        <w:rPr>
          <w:rFonts w:eastAsia="Times New Roman" w:cstheme="minorHAnsi"/>
          <w:b/>
          <w:bCs/>
          <w:color w:val="231F20"/>
          <w:sz w:val="28"/>
          <w:szCs w:val="28"/>
        </w:rPr>
        <w:t>3. Communicate the results to employees at all levels of the organization</w:t>
      </w:r>
    </w:p>
    <w:p w14:paraId="76A7CA04" w14:textId="77777777" w:rsidR="004444ED" w:rsidRPr="004444ED" w:rsidRDefault="004444ED" w:rsidP="009A09D2">
      <w:pPr>
        <w:spacing w:after="225" w:line="240" w:lineRule="auto"/>
        <w:jc w:val="both"/>
        <w:rPr>
          <w:rFonts w:eastAsia="Times New Roman" w:cstheme="minorHAnsi"/>
          <w:color w:val="231F20"/>
          <w:sz w:val="28"/>
          <w:szCs w:val="28"/>
        </w:rPr>
      </w:pPr>
      <w:r w:rsidRPr="004444ED">
        <w:rPr>
          <w:rFonts w:eastAsia="Times New Roman" w:cstheme="minorHAnsi"/>
          <w:color w:val="231F20"/>
          <w:sz w:val="28"/>
          <w:szCs w:val="28"/>
        </w:rPr>
        <w:t xml:space="preserve">Employees can learn from the experience of others through a safety alert posted on a bulletin board or in a toolbox talk. Supervisors and trainers should be advised of trends that appear in near miss reports so they can address recurring issues in safety meetings or toolbox talks. The safety department can also </w:t>
      </w:r>
      <w:r w:rsidRPr="004444ED">
        <w:rPr>
          <w:rFonts w:eastAsia="Times New Roman" w:cstheme="minorHAnsi"/>
          <w:color w:val="231F20"/>
          <w:sz w:val="28"/>
          <w:szCs w:val="28"/>
        </w:rPr>
        <w:lastRenderedPageBreak/>
        <w:t>communicate with sister companies about incidents that are serious and relevant to their operations.</w:t>
      </w:r>
    </w:p>
    <w:p w14:paraId="1DFDF98F" w14:textId="77777777" w:rsidR="004444ED" w:rsidRPr="004444ED" w:rsidRDefault="004444ED" w:rsidP="009A09D2">
      <w:pPr>
        <w:spacing w:after="225" w:line="240" w:lineRule="auto"/>
        <w:jc w:val="both"/>
        <w:rPr>
          <w:rFonts w:eastAsia="Times New Roman" w:cstheme="minorHAnsi"/>
          <w:color w:val="231F20"/>
          <w:sz w:val="28"/>
          <w:szCs w:val="28"/>
        </w:rPr>
      </w:pPr>
      <w:r w:rsidRPr="004444ED">
        <w:rPr>
          <w:rFonts w:eastAsia="Times New Roman" w:cstheme="minorHAnsi"/>
          <w:b/>
          <w:bCs/>
          <w:color w:val="231F20"/>
          <w:sz w:val="28"/>
          <w:szCs w:val="28"/>
        </w:rPr>
        <w:t>4. Integrate other training and techniques into the card or form you use</w:t>
      </w:r>
    </w:p>
    <w:p w14:paraId="335BB166" w14:textId="66447CDF" w:rsidR="004444ED" w:rsidRPr="004444ED" w:rsidRDefault="004444ED" w:rsidP="009A09D2">
      <w:pPr>
        <w:spacing w:after="225" w:line="240" w:lineRule="auto"/>
        <w:jc w:val="both"/>
        <w:rPr>
          <w:rFonts w:eastAsia="Times New Roman" w:cstheme="minorHAnsi"/>
          <w:color w:val="231F20"/>
          <w:sz w:val="28"/>
          <w:szCs w:val="28"/>
        </w:rPr>
      </w:pPr>
      <w:r w:rsidRPr="004444ED">
        <w:rPr>
          <w:rFonts w:eastAsia="Times New Roman" w:cstheme="minorHAnsi"/>
          <w:color w:val="231F20"/>
          <w:sz w:val="28"/>
          <w:szCs w:val="28"/>
        </w:rPr>
        <w:t xml:space="preserve">When implemented correctly, near-miss reporting can improve your ability to identify gaps in your safety system and training schedule before an injury or property damage occurs. Adding a near miss reporting system to what you are already doing for accident/incident investigation will help you learn from incidents where no one was </w:t>
      </w:r>
      <w:r w:rsidR="009A09D2" w:rsidRPr="004444ED">
        <w:rPr>
          <w:rFonts w:eastAsia="Times New Roman" w:cstheme="minorHAnsi"/>
          <w:color w:val="231F20"/>
          <w:sz w:val="28"/>
          <w:szCs w:val="28"/>
        </w:rPr>
        <w:t>hurt,</w:t>
      </w:r>
      <w:r w:rsidRPr="004444ED">
        <w:rPr>
          <w:rFonts w:eastAsia="Times New Roman" w:cstheme="minorHAnsi"/>
          <w:color w:val="231F20"/>
          <w:sz w:val="28"/>
          <w:szCs w:val="28"/>
        </w:rPr>
        <w:t xml:space="preserve"> or the injuries were very minimal. You’ll then be able to </w:t>
      </w:r>
      <w:r w:rsidR="009A09D2" w:rsidRPr="009A09D2">
        <w:rPr>
          <w:rFonts w:eastAsia="Times New Roman" w:cstheme="minorHAnsi"/>
          <w:color w:val="231F20"/>
          <w:sz w:val="28"/>
          <w:szCs w:val="28"/>
        </w:rPr>
        <w:t>act</w:t>
      </w:r>
      <w:r w:rsidRPr="004444ED">
        <w:rPr>
          <w:rFonts w:eastAsia="Times New Roman" w:cstheme="minorHAnsi"/>
          <w:color w:val="231F20"/>
          <w:sz w:val="28"/>
          <w:szCs w:val="28"/>
        </w:rPr>
        <w:t xml:space="preserve"> and reduce the risk of injuries in the future.</w:t>
      </w:r>
    </w:p>
    <w:p w14:paraId="5FB176B6" w14:textId="77777777" w:rsidR="004444ED" w:rsidRPr="004444ED" w:rsidRDefault="004444ED" w:rsidP="009A09D2">
      <w:pPr>
        <w:spacing w:after="225" w:line="240" w:lineRule="auto"/>
        <w:jc w:val="both"/>
        <w:rPr>
          <w:rFonts w:eastAsia="Times New Roman" w:cstheme="minorHAnsi"/>
          <w:color w:val="231F20"/>
          <w:sz w:val="28"/>
          <w:szCs w:val="28"/>
        </w:rPr>
      </w:pPr>
      <w:r w:rsidRPr="004444ED">
        <w:rPr>
          <w:rFonts w:eastAsia="Times New Roman" w:cstheme="minorHAnsi"/>
          <w:b/>
          <w:bCs/>
          <w:color w:val="231F20"/>
          <w:sz w:val="28"/>
          <w:szCs w:val="28"/>
        </w:rPr>
        <w:t>5. Using initiatives</w:t>
      </w:r>
    </w:p>
    <w:p w14:paraId="36240A18" w14:textId="77777777" w:rsidR="004444ED" w:rsidRPr="004444ED" w:rsidRDefault="004444ED" w:rsidP="009A09D2">
      <w:pPr>
        <w:spacing w:after="225" w:line="240" w:lineRule="auto"/>
        <w:jc w:val="both"/>
        <w:rPr>
          <w:rFonts w:eastAsia="Times New Roman" w:cstheme="minorHAnsi"/>
          <w:color w:val="231F20"/>
          <w:sz w:val="28"/>
          <w:szCs w:val="28"/>
        </w:rPr>
      </w:pPr>
      <w:r w:rsidRPr="004444ED">
        <w:rPr>
          <w:rFonts w:eastAsia="Times New Roman" w:cstheme="minorHAnsi"/>
          <w:color w:val="231F20"/>
          <w:sz w:val="28"/>
          <w:szCs w:val="28"/>
        </w:rPr>
        <w:t>Workers may not want to report near misses for fear of punishment or getting a work colleague into trouble. Explain to them that the company regards near miss reporting as a good thing because the next incident could be a serious accident. Introduce an incentive scheme i.e. lunch vouchers, a certificate, a positive letter from the boss etc.</w:t>
      </w:r>
    </w:p>
    <w:p w14:paraId="4B04F3A3" w14:textId="77777777" w:rsidR="005150E9" w:rsidRPr="00942122" w:rsidRDefault="005150E9" w:rsidP="00942122">
      <w:pPr>
        <w:jc w:val="both"/>
        <w:rPr>
          <w:rFonts w:cstheme="minorHAnsi"/>
          <w:b/>
          <w:bCs/>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5150E9" w:rsidRPr="0094212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C4B2D"/>
    <w:multiLevelType w:val="multilevel"/>
    <w:tmpl w:val="A850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764AFB"/>
    <w:multiLevelType w:val="multilevel"/>
    <w:tmpl w:val="9F7E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C79DE"/>
    <w:multiLevelType w:val="multilevel"/>
    <w:tmpl w:val="2608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3E1969"/>
    <w:multiLevelType w:val="multilevel"/>
    <w:tmpl w:val="EBA2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CF486D"/>
    <w:multiLevelType w:val="multilevel"/>
    <w:tmpl w:val="653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E701ED"/>
    <w:multiLevelType w:val="multilevel"/>
    <w:tmpl w:val="2020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763A1C"/>
    <w:multiLevelType w:val="hybridMultilevel"/>
    <w:tmpl w:val="25DEF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E53684"/>
    <w:multiLevelType w:val="multilevel"/>
    <w:tmpl w:val="682A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8"/>
  </w:num>
  <w:num w:numId="4">
    <w:abstractNumId w:val="19"/>
  </w:num>
  <w:num w:numId="5">
    <w:abstractNumId w:val="23"/>
  </w:num>
  <w:num w:numId="6">
    <w:abstractNumId w:val="5"/>
  </w:num>
  <w:num w:numId="7">
    <w:abstractNumId w:val="0"/>
  </w:num>
  <w:num w:numId="8">
    <w:abstractNumId w:val="3"/>
  </w:num>
  <w:num w:numId="9">
    <w:abstractNumId w:val="11"/>
  </w:num>
  <w:num w:numId="10">
    <w:abstractNumId w:val="6"/>
  </w:num>
  <w:num w:numId="11">
    <w:abstractNumId w:val="10"/>
  </w:num>
  <w:num w:numId="12">
    <w:abstractNumId w:val="13"/>
  </w:num>
  <w:num w:numId="13">
    <w:abstractNumId w:val="15"/>
  </w:num>
  <w:num w:numId="14">
    <w:abstractNumId w:val="7"/>
  </w:num>
  <w:num w:numId="15">
    <w:abstractNumId w:val="4"/>
  </w:num>
  <w:num w:numId="16">
    <w:abstractNumId w:val="22"/>
  </w:num>
  <w:num w:numId="17">
    <w:abstractNumId w:val="14"/>
  </w:num>
  <w:num w:numId="18">
    <w:abstractNumId w:val="1"/>
  </w:num>
  <w:num w:numId="19">
    <w:abstractNumId w:val="16"/>
  </w:num>
  <w:num w:numId="20">
    <w:abstractNumId w:val="9"/>
  </w:num>
  <w:num w:numId="21">
    <w:abstractNumId w:val="20"/>
  </w:num>
  <w:num w:numId="22">
    <w:abstractNumId w:val="21"/>
  </w:num>
  <w:num w:numId="23">
    <w:abstractNumId w:val="25"/>
  </w:num>
  <w:num w:numId="24">
    <w:abstractNumId w:val="2"/>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B3C7B"/>
    <w:rsid w:val="002F7C86"/>
    <w:rsid w:val="00353CBC"/>
    <w:rsid w:val="00380AE2"/>
    <w:rsid w:val="003A0D96"/>
    <w:rsid w:val="004064DA"/>
    <w:rsid w:val="00435628"/>
    <w:rsid w:val="004444ED"/>
    <w:rsid w:val="00493021"/>
    <w:rsid w:val="004B0863"/>
    <w:rsid w:val="005150E9"/>
    <w:rsid w:val="005B31AB"/>
    <w:rsid w:val="00713120"/>
    <w:rsid w:val="00713A12"/>
    <w:rsid w:val="00724E81"/>
    <w:rsid w:val="007369ED"/>
    <w:rsid w:val="00782A46"/>
    <w:rsid w:val="008E3A7D"/>
    <w:rsid w:val="00942122"/>
    <w:rsid w:val="009673BB"/>
    <w:rsid w:val="009A09D2"/>
    <w:rsid w:val="009A1379"/>
    <w:rsid w:val="00A160FE"/>
    <w:rsid w:val="00A50026"/>
    <w:rsid w:val="00A61147"/>
    <w:rsid w:val="00A70CC9"/>
    <w:rsid w:val="00A76C2C"/>
    <w:rsid w:val="00A96582"/>
    <w:rsid w:val="00A97E38"/>
    <w:rsid w:val="00B71CE0"/>
    <w:rsid w:val="00B74B0E"/>
    <w:rsid w:val="00C06465"/>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4212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4212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94212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4212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676494492">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05682090">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1866483218">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48</cp:revision>
  <cp:lastPrinted>2021-05-12T07:22:00Z</cp:lastPrinted>
  <dcterms:created xsi:type="dcterms:W3CDTF">2021-05-12T06:52:00Z</dcterms:created>
  <dcterms:modified xsi:type="dcterms:W3CDTF">2021-06-15T07:45:00Z</dcterms:modified>
</cp:coreProperties>
</file>